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570" w:rsidRDefault="00B97316">
      <w:pPr>
        <w:pStyle w:val="Body"/>
      </w:pPr>
      <w:r>
        <w:t>FOR IMMEDIATE RELEASE</w:t>
      </w:r>
    </w:p>
    <w:p w:rsidR="00011570" w:rsidRDefault="00B97316">
      <w:pPr>
        <w:pStyle w:val="Body"/>
        <w:spacing w:after="0" w:line="240" w:lineRule="auto"/>
        <w:jc w:val="right"/>
        <w:rPr>
          <w:b/>
          <w:bCs/>
          <w:sz w:val="20"/>
          <w:szCs w:val="20"/>
        </w:rPr>
      </w:pPr>
      <w:r>
        <w:rPr>
          <w:b/>
          <w:bCs/>
          <w:sz w:val="20"/>
          <w:szCs w:val="20"/>
        </w:rPr>
        <w:t xml:space="preserve">Contact: </w:t>
      </w:r>
    </w:p>
    <w:p w:rsidR="00011570" w:rsidRDefault="00B97316">
      <w:pPr>
        <w:pStyle w:val="Body"/>
        <w:spacing w:after="0" w:line="240" w:lineRule="auto"/>
        <w:jc w:val="right"/>
        <w:rPr>
          <w:sz w:val="20"/>
          <w:szCs w:val="20"/>
        </w:rPr>
      </w:pPr>
      <w:r>
        <w:rPr>
          <w:sz w:val="20"/>
          <w:szCs w:val="20"/>
          <w:lang w:val="fr-FR"/>
        </w:rPr>
        <w:t>Mr. Dennis Harrison</w:t>
      </w:r>
    </w:p>
    <w:p w:rsidR="00DD3A30" w:rsidRDefault="00B97316">
      <w:pPr>
        <w:pStyle w:val="Body"/>
        <w:spacing w:after="0" w:line="240" w:lineRule="auto"/>
        <w:jc w:val="right"/>
        <w:rPr>
          <w:sz w:val="20"/>
          <w:szCs w:val="20"/>
        </w:rPr>
      </w:pPr>
      <w:r>
        <w:rPr>
          <w:sz w:val="20"/>
          <w:szCs w:val="20"/>
        </w:rPr>
        <w:t>Chief Development Officer</w:t>
      </w:r>
    </w:p>
    <w:p w:rsidR="00011570" w:rsidRDefault="00DD3A30">
      <w:pPr>
        <w:pStyle w:val="Body"/>
        <w:spacing w:after="0" w:line="240" w:lineRule="auto"/>
        <w:jc w:val="right"/>
        <w:rPr>
          <w:sz w:val="20"/>
          <w:szCs w:val="20"/>
        </w:rPr>
      </w:pPr>
      <w:r>
        <w:rPr>
          <w:sz w:val="20"/>
          <w:szCs w:val="20"/>
        </w:rPr>
        <w:t xml:space="preserve">Jacksonville Area Legal Aid, Inc. </w:t>
      </w:r>
      <w:r w:rsidR="00B97316">
        <w:rPr>
          <w:sz w:val="20"/>
          <w:szCs w:val="20"/>
        </w:rPr>
        <w:t xml:space="preserve"> </w:t>
      </w:r>
    </w:p>
    <w:p w:rsidR="00011570" w:rsidRDefault="00BA5E65">
      <w:pPr>
        <w:pStyle w:val="Body"/>
        <w:spacing w:after="0" w:line="240" w:lineRule="auto"/>
        <w:jc w:val="right"/>
        <w:rPr>
          <w:sz w:val="20"/>
          <w:szCs w:val="20"/>
        </w:rPr>
      </w:pPr>
      <w:hyperlink r:id="rId6" w:history="1">
        <w:r w:rsidR="00B97316">
          <w:rPr>
            <w:rStyle w:val="Hyperlink0"/>
            <w:lang w:val="fr-FR"/>
          </w:rPr>
          <w:t>Dennis.Harrison@JaxLegalAid.org</w:t>
        </w:r>
      </w:hyperlink>
      <w:r w:rsidR="00B97316">
        <w:rPr>
          <w:sz w:val="20"/>
          <w:szCs w:val="20"/>
        </w:rPr>
        <w:t xml:space="preserve"> </w:t>
      </w:r>
    </w:p>
    <w:p w:rsidR="00011570" w:rsidRDefault="00B97316">
      <w:pPr>
        <w:pStyle w:val="Body"/>
        <w:spacing w:after="0" w:line="240" w:lineRule="auto"/>
        <w:jc w:val="right"/>
        <w:rPr>
          <w:sz w:val="20"/>
          <w:szCs w:val="20"/>
        </w:rPr>
      </w:pPr>
      <w:r>
        <w:rPr>
          <w:sz w:val="20"/>
          <w:szCs w:val="20"/>
        </w:rPr>
        <w:t xml:space="preserve">(904) 356-8371 ext. 296 </w:t>
      </w:r>
    </w:p>
    <w:p w:rsidR="00011570" w:rsidRDefault="00011570">
      <w:pPr>
        <w:pStyle w:val="Body"/>
        <w:spacing w:after="0" w:line="240" w:lineRule="auto"/>
        <w:jc w:val="right"/>
        <w:rPr>
          <w:sz w:val="20"/>
          <w:szCs w:val="20"/>
        </w:rPr>
      </w:pPr>
    </w:p>
    <w:p w:rsidR="00924E7E" w:rsidRDefault="003362FB" w:rsidP="00924E7E">
      <w:pPr>
        <w:pStyle w:val="Body"/>
        <w:spacing w:after="0" w:line="240" w:lineRule="auto"/>
        <w:jc w:val="center"/>
        <w:rPr>
          <w:b/>
          <w:bCs/>
          <w:color w:val="auto"/>
          <w:sz w:val="28"/>
          <w:szCs w:val="28"/>
        </w:rPr>
      </w:pPr>
      <w:r w:rsidRPr="002E5458">
        <w:rPr>
          <w:b/>
          <w:bCs/>
          <w:sz w:val="28"/>
          <w:szCs w:val="28"/>
        </w:rPr>
        <w:t>JALA COO Kimberly Martyn Cited</w:t>
      </w:r>
      <w:r w:rsidR="002E5458" w:rsidRPr="002E5458">
        <w:rPr>
          <w:b/>
          <w:bCs/>
          <w:sz w:val="28"/>
          <w:szCs w:val="28"/>
        </w:rPr>
        <w:t xml:space="preserve"> </w:t>
      </w:r>
      <w:r w:rsidR="00D61A4B" w:rsidRPr="00924E7E">
        <w:rPr>
          <w:b/>
          <w:bCs/>
          <w:color w:val="auto"/>
          <w:sz w:val="28"/>
          <w:szCs w:val="28"/>
        </w:rPr>
        <w:t xml:space="preserve">as Authority </w:t>
      </w:r>
      <w:r w:rsidR="00B6202D" w:rsidRPr="00924E7E">
        <w:rPr>
          <w:b/>
          <w:bCs/>
          <w:color w:val="auto"/>
          <w:sz w:val="28"/>
          <w:szCs w:val="28"/>
        </w:rPr>
        <w:t>by Appellate Court</w:t>
      </w:r>
      <w:r w:rsidR="00924E7E">
        <w:rPr>
          <w:b/>
          <w:bCs/>
          <w:color w:val="auto"/>
          <w:sz w:val="28"/>
          <w:szCs w:val="28"/>
        </w:rPr>
        <w:t xml:space="preserve"> in</w:t>
      </w:r>
    </w:p>
    <w:p w:rsidR="00011570" w:rsidRDefault="002E5458" w:rsidP="00924E7E">
      <w:pPr>
        <w:pStyle w:val="Body"/>
        <w:spacing w:after="0" w:line="240" w:lineRule="auto"/>
        <w:jc w:val="center"/>
        <w:rPr>
          <w:b/>
          <w:bCs/>
          <w:sz w:val="28"/>
          <w:szCs w:val="28"/>
        </w:rPr>
      </w:pPr>
      <w:r w:rsidRPr="00924E7E">
        <w:rPr>
          <w:b/>
          <w:bCs/>
          <w:sz w:val="28"/>
          <w:szCs w:val="28"/>
        </w:rPr>
        <w:t xml:space="preserve">Stalking </w:t>
      </w:r>
      <w:r w:rsidR="0075038A" w:rsidRPr="00924E7E">
        <w:rPr>
          <w:b/>
          <w:bCs/>
          <w:sz w:val="28"/>
          <w:szCs w:val="28"/>
        </w:rPr>
        <w:t>Injunction</w:t>
      </w:r>
      <w:r w:rsidR="00B6202D" w:rsidRPr="00924E7E">
        <w:rPr>
          <w:b/>
          <w:bCs/>
          <w:sz w:val="28"/>
          <w:szCs w:val="28"/>
        </w:rPr>
        <w:t xml:space="preserve"> Decision</w:t>
      </w:r>
      <w:r w:rsidRPr="00B6202D">
        <w:rPr>
          <w:b/>
          <w:bCs/>
          <w:strike/>
          <w:sz w:val="28"/>
          <w:szCs w:val="28"/>
        </w:rPr>
        <w:t xml:space="preserve"> </w:t>
      </w:r>
      <w:r w:rsidR="003362FB" w:rsidRPr="002E5458">
        <w:rPr>
          <w:b/>
          <w:bCs/>
          <w:sz w:val="28"/>
          <w:szCs w:val="28"/>
        </w:rPr>
        <w:t xml:space="preserve"> </w:t>
      </w:r>
      <w:r w:rsidR="00B97316" w:rsidRPr="002E5458">
        <w:rPr>
          <w:b/>
          <w:bCs/>
          <w:sz w:val="28"/>
          <w:szCs w:val="28"/>
        </w:rPr>
        <w:t xml:space="preserve"> </w:t>
      </w:r>
    </w:p>
    <w:p w:rsidR="00924E7E" w:rsidRPr="002E5458" w:rsidRDefault="00924E7E" w:rsidP="00924E7E">
      <w:pPr>
        <w:pStyle w:val="Body"/>
        <w:spacing w:after="0" w:line="240" w:lineRule="auto"/>
        <w:jc w:val="center"/>
        <w:rPr>
          <w:b/>
          <w:bCs/>
          <w:sz w:val="28"/>
          <w:szCs w:val="28"/>
        </w:rPr>
      </w:pPr>
    </w:p>
    <w:p w:rsidR="005437FB" w:rsidRDefault="003362FB" w:rsidP="009C4534">
      <w:pPr>
        <w:shd w:val="clear" w:color="auto" w:fill="FFFFFF"/>
        <w:rPr>
          <w:rFonts w:ascii="Calibri" w:hAnsi="Calibri"/>
          <w:bCs/>
          <w:color w:val="222222"/>
          <w:sz w:val="22"/>
          <w:szCs w:val="22"/>
          <w:u w:color="222222"/>
          <w:shd w:val="clear" w:color="auto" w:fill="FFFFFF"/>
        </w:rPr>
      </w:pPr>
      <w:r w:rsidRPr="002E5458">
        <w:rPr>
          <w:rFonts w:ascii="Calibri" w:hAnsi="Calibri"/>
          <w:b/>
          <w:bCs/>
          <w:color w:val="222222"/>
          <w:sz w:val="22"/>
          <w:szCs w:val="22"/>
          <w:u w:color="222222"/>
          <w:shd w:val="clear" w:color="auto" w:fill="FFFFFF"/>
        </w:rPr>
        <w:t>JACKSONVILLE, FLORIDA</w:t>
      </w:r>
      <w:r w:rsidR="00BA5E65">
        <w:rPr>
          <w:rFonts w:ascii="Calibri" w:hAnsi="Calibri"/>
          <w:b/>
          <w:bCs/>
          <w:color w:val="222222"/>
          <w:sz w:val="22"/>
          <w:szCs w:val="22"/>
          <w:u w:color="222222"/>
          <w:shd w:val="clear" w:color="auto" w:fill="FFFFFF"/>
        </w:rPr>
        <w:t xml:space="preserve">, </w:t>
      </w:r>
      <w:r w:rsidR="00BA5E65" w:rsidRPr="00BA5E65">
        <w:rPr>
          <w:rFonts w:ascii="Calibri" w:hAnsi="Calibri"/>
          <w:bCs/>
          <w:i/>
          <w:color w:val="222222"/>
          <w:sz w:val="22"/>
          <w:szCs w:val="22"/>
          <w:u w:color="222222"/>
          <w:shd w:val="clear" w:color="auto" w:fill="FFFFFF"/>
        </w:rPr>
        <w:t>February 2</w:t>
      </w:r>
      <w:r w:rsidR="00BA5E65">
        <w:rPr>
          <w:rFonts w:ascii="Calibri" w:hAnsi="Calibri"/>
          <w:bCs/>
          <w:i/>
          <w:color w:val="222222"/>
          <w:sz w:val="22"/>
          <w:szCs w:val="22"/>
          <w:u w:color="222222"/>
          <w:shd w:val="clear" w:color="auto" w:fill="FFFFFF"/>
        </w:rPr>
        <w:t>7</w:t>
      </w:r>
      <w:r w:rsidR="00BA5E65" w:rsidRPr="00BA5E65">
        <w:rPr>
          <w:rFonts w:ascii="Calibri" w:hAnsi="Calibri"/>
          <w:bCs/>
          <w:i/>
          <w:color w:val="222222"/>
          <w:sz w:val="22"/>
          <w:szCs w:val="22"/>
          <w:u w:color="222222"/>
          <w:shd w:val="clear" w:color="auto" w:fill="FFFFFF"/>
        </w:rPr>
        <w:t>, 2018</w:t>
      </w:r>
      <w:r w:rsidR="00DD3A30">
        <w:rPr>
          <w:rFonts w:ascii="Calibri" w:hAnsi="Calibri"/>
          <w:b/>
          <w:bCs/>
          <w:color w:val="222222"/>
          <w:sz w:val="22"/>
          <w:szCs w:val="22"/>
          <w:u w:color="222222"/>
          <w:shd w:val="clear" w:color="auto" w:fill="FFFFFF"/>
        </w:rPr>
        <w:t xml:space="preserve"> – </w:t>
      </w:r>
      <w:r w:rsidR="00945C4A">
        <w:rPr>
          <w:rFonts w:ascii="Calibri" w:hAnsi="Calibri"/>
          <w:b/>
          <w:bCs/>
          <w:color w:val="222222"/>
          <w:sz w:val="22"/>
          <w:szCs w:val="22"/>
          <w:u w:color="222222"/>
          <w:shd w:val="clear" w:color="auto" w:fill="FFFFFF"/>
        </w:rPr>
        <w:t xml:space="preserve">Jacksonville Area Legal Aid, Inc. (JALA) </w:t>
      </w:r>
      <w:r w:rsidR="00DD3A30">
        <w:rPr>
          <w:rFonts w:ascii="Calibri" w:hAnsi="Calibri"/>
          <w:b/>
          <w:bCs/>
          <w:color w:val="222222"/>
          <w:sz w:val="22"/>
          <w:szCs w:val="22"/>
          <w:u w:color="222222"/>
          <w:shd w:val="clear" w:color="auto" w:fill="FFFFFF"/>
        </w:rPr>
        <w:t xml:space="preserve">Chief </w:t>
      </w:r>
      <w:r w:rsidRPr="002E5458">
        <w:rPr>
          <w:rFonts w:ascii="Calibri" w:hAnsi="Calibri"/>
          <w:b/>
          <w:bCs/>
          <w:color w:val="222222"/>
          <w:sz w:val="22"/>
          <w:szCs w:val="22"/>
          <w:u w:color="222222"/>
          <w:shd w:val="clear" w:color="auto" w:fill="FFFFFF"/>
        </w:rPr>
        <w:t>Operating Officer Kimberly Mart</w:t>
      </w:r>
      <w:r w:rsidR="001B7EC1" w:rsidRPr="001B7EC1">
        <w:rPr>
          <w:rFonts w:ascii="Calibri" w:hAnsi="Calibri"/>
          <w:b/>
          <w:bCs/>
          <w:color w:val="222222"/>
          <w:sz w:val="22"/>
          <w:szCs w:val="22"/>
          <w:shd w:val="clear" w:color="auto" w:fill="FFFFFF"/>
        </w:rPr>
        <w:t>y</w:t>
      </w:r>
      <w:r w:rsidRPr="002E5458">
        <w:rPr>
          <w:rFonts w:ascii="Calibri" w:hAnsi="Calibri"/>
          <w:b/>
          <w:bCs/>
          <w:color w:val="222222"/>
          <w:sz w:val="22"/>
          <w:szCs w:val="22"/>
          <w:u w:color="222222"/>
          <w:shd w:val="clear" w:color="auto" w:fill="FFFFFF"/>
        </w:rPr>
        <w:t xml:space="preserve">n was recently </w:t>
      </w:r>
      <w:r w:rsidR="002E5458" w:rsidRPr="002E5458">
        <w:rPr>
          <w:rFonts w:ascii="Calibri" w:hAnsi="Calibri"/>
          <w:b/>
          <w:bCs/>
          <w:color w:val="222222"/>
          <w:sz w:val="22"/>
          <w:szCs w:val="22"/>
          <w:u w:color="222222"/>
          <w:shd w:val="clear" w:color="auto" w:fill="FFFFFF"/>
        </w:rPr>
        <w:t xml:space="preserve">cited by </w:t>
      </w:r>
      <w:r w:rsidR="001B7EC1">
        <w:rPr>
          <w:rFonts w:ascii="Calibri" w:hAnsi="Calibri"/>
          <w:b/>
          <w:bCs/>
          <w:color w:val="222222"/>
          <w:sz w:val="22"/>
          <w:szCs w:val="22"/>
          <w:u w:color="222222"/>
          <w:shd w:val="clear" w:color="auto" w:fill="FFFFFF"/>
        </w:rPr>
        <w:t>the</w:t>
      </w:r>
      <w:r w:rsidR="002E5458" w:rsidRPr="002E5458">
        <w:rPr>
          <w:rFonts w:ascii="Calibri" w:hAnsi="Calibri"/>
          <w:b/>
          <w:bCs/>
          <w:color w:val="222222"/>
          <w:sz w:val="22"/>
          <w:szCs w:val="22"/>
          <w:u w:color="222222"/>
          <w:shd w:val="clear" w:color="auto" w:fill="FFFFFF"/>
        </w:rPr>
        <w:t xml:space="preserve"> </w:t>
      </w:r>
      <w:r w:rsidR="001B7EC1" w:rsidRPr="00924E7E">
        <w:rPr>
          <w:rFonts w:ascii="Calibri" w:hAnsi="Calibri"/>
          <w:b/>
          <w:bCs/>
          <w:color w:val="222222"/>
          <w:sz w:val="22"/>
          <w:szCs w:val="22"/>
          <w:shd w:val="clear" w:color="auto" w:fill="FFFFFF"/>
        </w:rPr>
        <w:t>Florida</w:t>
      </w:r>
      <w:r w:rsidR="001B7EC1">
        <w:rPr>
          <w:rFonts w:ascii="Calibri" w:hAnsi="Calibri"/>
          <w:b/>
          <w:bCs/>
          <w:color w:val="222222"/>
          <w:sz w:val="22"/>
          <w:szCs w:val="22"/>
          <w:u w:val="single"/>
          <w:shd w:val="clear" w:color="auto" w:fill="FFFFFF"/>
        </w:rPr>
        <w:t xml:space="preserve"> </w:t>
      </w:r>
      <w:r w:rsidR="002E5458" w:rsidRPr="002E5458">
        <w:rPr>
          <w:rFonts w:ascii="Calibri" w:hAnsi="Calibri"/>
          <w:b/>
          <w:bCs/>
          <w:color w:val="222222"/>
          <w:sz w:val="22"/>
          <w:szCs w:val="22"/>
          <w:u w:color="222222"/>
          <w:shd w:val="clear" w:color="auto" w:fill="FFFFFF"/>
        </w:rPr>
        <w:t xml:space="preserve">First District Court of Appeal </w:t>
      </w:r>
      <w:r w:rsidR="00924E7E">
        <w:rPr>
          <w:rFonts w:ascii="Calibri" w:hAnsi="Calibri"/>
          <w:b/>
          <w:bCs/>
          <w:color w:val="222222"/>
          <w:sz w:val="22"/>
          <w:szCs w:val="22"/>
          <w:u w:color="222222"/>
          <w:shd w:val="clear" w:color="auto" w:fill="FFFFFF"/>
        </w:rPr>
        <w:t>as authoritative support</w:t>
      </w:r>
      <w:r w:rsidR="00924E7E" w:rsidRPr="002E5458">
        <w:rPr>
          <w:rFonts w:ascii="Calibri" w:hAnsi="Calibri"/>
          <w:b/>
          <w:bCs/>
          <w:color w:val="222222"/>
          <w:sz w:val="22"/>
          <w:szCs w:val="22"/>
          <w:u w:color="222222"/>
          <w:shd w:val="clear" w:color="auto" w:fill="FFFFFF"/>
        </w:rPr>
        <w:t xml:space="preserve"> </w:t>
      </w:r>
      <w:r w:rsidR="00924E7E">
        <w:rPr>
          <w:rFonts w:ascii="Calibri" w:hAnsi="Calibri"/>
          <w:b/>
          <w:bCs/>
          <w:color w:val="222222"/>
          <w:sz w:val="22"/>
          <w:szCs w:val="22"/>
          <w:u w:color="222222"/>
          <w:shd w:val="clear" w:color="auto" w:fill="FFFFFF"/>
        </w:rPr>
        <w:t xml:space="preserve">for its opinion </w:t>
      </w:r>
      <w:r w:rsidR="00DD3A30" w:rsidRPr="00DD3A30">
        <w:rPr>
          <w:rFonts w:ascii="Calibri" w:hAnsi="Calibri"/>
          <w:b/>
          <w:bCs/>
          <w:color w:val="222222"/>
          <w:sz w:val="22"/>
          <w:szCs w:val="22"/>
          <w:u w:color="222222"/>
          <w:shd w:val="clear" w:color="auto" w:fill="FFFFFF"/>
        </w:rPr>
        <w:t xml:space="preserve">on the </w:t>
      </w:r>
      <w:r w:rsidR="006650B8">
        <w:rPr>
          <w:rFonts w:ascii="Calibri" w:hAnsi="Calibri"/>
          <w:b/>
          <w:bCs/>
          <w:color w:val="222222"/>
          <w:sz w:val="22"/>
          <w:szCs w:val="22"/>
          <w:u w:color="222222"/>
          <w:shd w:val="clear" w:color="auto" w:fill="FFFFFF"/>
        </w:rPr>
        <w:t xml:space="preserve">proof needed for </w:t>
      </w:r>
      <w:r w:rsidR="00DD3A30" w:rsidRPr="00DD3A30">
        <w:rPr>
          <w:rFonts w:ascii="Calibri" w:hAnsi="Calibri"/>
          <w:b/>
          <w:bCs/>
          <w:color w:val="222222"/>
          <w:sz w:val="22"/>
          <w:szCs w:val="22"/>
          <w:u w:color="222222"/>
          <w:shd w:val="clear" w:color="auto" w:fill="FFFFFF"/>
        </w:rPr>
        <w:t>the relatively new injunction for protection against stalking</w:t>
      </w:r>
      <w:r w:rsidR="000252FF">
        <w:rPr>
          <w:rFonts w:ascii="Calibri" w:hAnsi="Calibri"/>
          <w:b/>
          <w:bCs/>
          <w:color w:val="222222"/>
          <w:sz w:val="22"/>
          <w:szCs w:val="22"/>
          <w:u w:color="222222"/>
          <w:shd w:val="clear" w:color="auto" w:fill="FFFFFF"/>
        </w:rPr>
        <w:t xml:space="preserve">, in </w:t>
      </w:r>
      <w:r w:rsidR="002E5458" w:rsidRPr="00692A93">
        <w:rPr>
          <w:rFonts w:ascii="Calibri" w:eastAsia="Times New Roman" w:hAnsi="Calibri"/>
          <w:b/>
          <w:i/>
          <w:iCs/>
          <w:color w:val="222222"/>
          <w:sz w:val="22"/>
          <w:szCs w:val="22"/>
          <w:bdr w:val="none" w:sz="0" w:space="0" w:color="auto"/>
        </w:rPr>
        <w:t>Pickett v. Copeland</w:t>
      </w:r>
      <w:r w:rsidR="002E5458" w:rsidRPr="00692A93">
        <w:rPr>
          <w:rFonts w:ascii="Calibri" w:eastAsia="Times New Roman" w:hAnsi="Calibri"/>
          <w:b/>
          <w:color w:val="222222"/>
          <w:sz w:val="22"/>
          <w:szCs w:val="22"/>
          <w:bdr w:val="none" w:sz="0" w:space="0" w:color="auto"/>
        </w:rPr>
        <w:t xml:space="preserve">, </w:t>
      </w:r>
      <w:r w:rsidR="009B334A">
        <w:rPr>
          <w:rFonts w:ascii="Calibri" w:eastAsia="Times New Roman" w:hAnsi="Calibri"/>
          <w:b/>
          <w:color w:val="222222"/>
          <w:sz w:val="22"/>
          <w:szCs w:val="22"/>
          <w:bdr w:val="none" w:sz="0" w:space="0" w:color="auto"/>
        </w:rPr>
        <w:t xml:space="preserve">WL </w:t>
      </w:r>
      <w:r w:rsidR="009B334A" w:rsidRPr="009B334A">
        <w:rPr>
          <w:rFonts w:ascii="Calibri" w:eastAsia="Times New Roman" w:hAnsi="Calibri"/>
          <w:b/>
          <w:color w:val="222222"/>
          <w:sz w:val="22"/>
          <w:szCs w:val="22"/>
          <w:bdr w:val="none" w:sz="0" w:space="0" w:color="auto"/>
        </w:rPr>
        <w:t xml:space="preserve">444243 </w:t>
      </w:r>
      <w:r w:rsidR="009B334A">
        <w:rPr>
          <w:rFonts w:ascii="Calibri" w:eastAsia="Times New Roman" w:hAnsi="Calibri"/>
          <w:b/>
          <w:color w:val="222222"/>
          <w:sz w:val="22"/>
          <w:szCs w:val="22"/>
          <w:bdr w:val="none" w:sz="0" w:space="0" w:color="auto"/>
        </w:rPr>
        <w:t>(Fla. 1</w:t>
      </w:r>
      <w:r w:rsidR="009B334A" w:rsidRPr="009B334A">
        <w:rPr>
          <w:rFonts w:ascii="Calibri" w:eastAsia="Times New Roman" w:hAnsi="Calibri"/>
          <w:b/>
          <w:color w:val="222222"/>
          <w:sz w:val="22"/>
          <w:szCs w:val="22"/>
          <w:bdr w:val="none" w:sz="0" w:space="0" w:color="auto"/>
          <w:vertAlign w:val="superscript"/>
        </w:rPr>
        <w:t>st</w:t>
      </w:r>
      <w:r w:rsidR="009B334A">
        <w:rPr>
          <w:rFonts w:ascii="Calibri" w:eastAsia="Times New Roman" w:hAnsi="Calibri"/>
          <w:b/>
          <w:color w:val="222222"/>
          <w:sz w:val="22"/>
          <w:szCs w:val="22"/>
          <w:bdr w:val="none" w:sz="0" w:space="0" w:color="auto"/>
        </w:rPr>
        <w:t xml:space="preserve"> DCA 2018)</w:t>
      </w:r>
      <w:r w:rsidRPr="00692A93">
        <w:rPr>
          <w:rFonts w:ascii="Calibri" w:hAnsi="Calibri"/>
          <w:b/>
          <w:bCs/>
          <w:color w:val="222222"/>
          <w:sz w:val="22"/>
          <w:szCs w:val="22"/>
          <w:u w:color="222222"/>
          <w:shd w:val="clear" w:color="auto" w:fill="FFFFFF"/>
        </w:rPr>
        <w:t>.</w:t>
      </w:r>
      <w:r w:rsidRPr="002E5458">
        <w:rPr>
          <w:rFonts w:ascii="Calibri" w:hAnsi="Calibri"/>
          <w:b/>
          <w:bCs/>
          <w:color w:val="222222"/>
          <w:sz w:val="22"/>
          <w:szCs w:val="22"/>
          <w:u w:color="222222"/>
          <w:shd w:val="clear" w:color="auto" w:fill="FFFFFF"/>
        </w:rPr>
        <w:t xml:space="preserve">  </w:t>
      </w:r>
      <w:r w:rsidR="00E120FC">
        <w:rPr>
          <w:rFonts w:ascii="Calibri" w:hAnsi="Calibri"/>
          <w:bCs/>
          <w:color w:val="222222"/>
          <w:sz w:val="22"/>
          <w:szCs w:val="22"/>
          <w:u w:color="222222"/>
          <w:shd w:val="clear" w:color="auto" w:fill="FFFFFF"/>
        </w:rPr>
        <w:t xml:space="preserve">Although appellate courts typically rely on prior </w:t>
      </w:r>
      <w:r w:rsidR="000D1151">
        <w:rPr>
          <w:rFonts w:ascii="Calibri" w:hAnsi="Calibri"/>
          <w:bCs/>
          <w:color w:val="222222"/>
          <w:sz w:val="22"/>
          <w:szCs w:val="22"/>
          <w:u w:color="222222"/>
          <w:shd w:val="clear" w:color="auto" w:fill="FFFFFF"/>
        </w:rPr>
        <w:t xml:space="preserve">court </w:t>
      </w:r>
      <w:r w:rsidRPr="002E5458">
        <w:rPr>
          <w:rFonts w:ascii="Calibri" w:hAnsi="Calibri"/>
          <w:bCs/>
          <w:color w:val="222222"/>
          <w:sz w:val="22"/>
          <w:szCs w:val="22"/>
          <w:u w:color="222222"/>
          <w:shd w:val="clear" w:color="auto" w:fill="FFFFFF"/>
        </w:rPr>
        <w:t xml:space="preserve">decisions </w:t>
      </w:r>
      <w:r w:rsidR="000D1151">
        <w:rPr>
          <w:rFonts w:ascii="Calibri" w:hAnsi="Calibri"/>
          <w:bCs/>
          <w:color w:val="222222"/>
          <w:sz w:val="22"/>
          <w:szCs w:val="22"/>
          <w:u w:color="222222"/>
          <w:shd w:val="clear" w:color="auto" w:fill="FFFFFF"/>
        </w:rPr>
        <w:t xml:space="preserve">for support, the First District Court of Appeal relied </w:t>
      </w:r>
      <w:r w:rsidR="00945C4A">
        <w:rPr>
          <w:rFonts w:ascii="Calibri" w:hAnsi="Calibri"/>
          <w:bCs/>
          <w:color w:val="222222"/>
          <w:sz w:val="22"/>
          <w:szCs w:val="22"/>
          <w:u w:color="222222"/>
          <w:shd w:val="clear" w:color="auto" w:fill="FFFFFF"/>
        </w:rPr>
        <w:t xml:space="preserve">on </w:t>
      </w:r>
      <w:r w:rsidR="00C51AC1">
        <w:rPr>
          <w:rFonts w:ascii="Calibri" w:hAnsi="Calibri"/>
          <w:bCs/>
          <w:color w:val="222222"/>
          <w:sz w:val="22"/>
          <w:szCs w:val="22"/>
          <w:u w:color="222222"/>
          <w:shd w:val="clear" w:color="auto" w:fill="FFFFFF"/>
        </w:rPr>
        <w:t xml:space="preserve">practice manual </w:t>
      </w:r>
      <w:r w:rsidR="00945C4A">
        <w:rPr>
          <w:rFonts w:ascii="Calibri" w:hAnsi="Calibri"/>
          <w:bCs/>
          <w:color w:val="222222"/>
          <w:sz w:val="22"/>
          <w:szCs w:val="22"/>
          <w:u w:color="222222"/>
          <w:shd w:val="clear" w:color="auto" w:fill="FFFFFF"/>
        </w:rPr>
        <w:t>ma</w:t>
      </w:r>
      <w:r w:rsidR="00C51AC1">
        <w:rPr>
          <w:rFonts w:ascii="Calibri" w:hAnsi="Calibri"/>
          <w:bCs/>
          <w:color w:val="222222"/>
          <w:sz w:val="22"/>
          <w:szCs w:val="22"/>
          <w:u w:color="222222"/>
          <w:shd w:val="clear" w:color="auto" w:fill="FFFFFF"/>
        </w:rPr>
        <w:t>terial</w:t>
      </w:r>
      <w:r w:rsidR="00945C4A">
        <w:rPr>
          <w:rFonts w:ascii="Calibri" w:hAnsi="Calibri"/>
          <w:bCs/>
          <w:color w:val="222222"/>
          <w:sz w:val="22"/>
          <w:szCs w:val="22"/>
          <w:u w:color="222222"/>
          <w:shd w:val="clear" w:color="auto" w:fill="FFFFFF"/>
        </w:rPr>
        <w:t xml:space="preserve"> </w:t>
      </w:r>
      <w:r w:rsidR="00C51AC1">
        <w:rPr>
          <w:rFonts w:ascii="Calibri" w:hAnsi="Calibri"/>
          <w:bCs/>
          <w:color w:val="222222"/>
          <w:sz w:val="22"/>
          <w:szCs w:val="22"/>
          <w:u w:color="222222"/>
          <w:shd w:val="clear" w:color="auto" w:fill="FFFFFF"/>
        </w:rPr>
        <w:t>a</w:t>
      </w:r>
      <w:r w:rsidR="00945C4A">
        <w:rPr>
          <w:rFonts w:ascii="Calibri" w:hAnsi="Calibri"/>
          <w:bCs/>
          <w:color w:val="222222"/>
          <w:sz w:val="22"/>
          <w:szCs w:val="22"/>
          <w:u w:color="222222"/>
          <w:shd w:val="clear" w:color="auto" w:fill="FFFFFF"/>
        </w:rPr>
        <w:t>uthored by Ms. Martyn</w:t>
      </w:r>
      <w:r w:rsidR="00C51AC1">
        <w:rPr>
          <w:rFonts w:ascii="Calibri" w:hAnsi="Calibri"/>
          <w:bCs/>
          <w:color w:val="222222"/>
          <w:sz w:val="22"/>
          <w:szCs w:val="22"/>
          <w:u w:color="222222"/>
          <w:shd w:val="clear" w:color="auto" w:fill="FFFFFF"/>
        </w:rPr>
        <w:t xml:space="preserve"> </w:t>
      </w:r>
      <w:r w:rsidR="00945C4A">
        <w:rPr>
          <w:rFonts w:ascii="Calibri" w:hAnsi="Calibri"/>
          <w:bCs/>
          <w:color w:val="222222"/>
          <w:sz w:val="22"/>
          <w:szCs w:val="22"/>
          <w:u w:color="222222"/>
          <w:shd w:val="clear" w:color="auto" w:fill="FFFFFF"/>
        </w:rPr>
        <w:t>[</w:t>
      </w:r>
      <w:r w:rsidR="000D1151" w:rsidRPr="000D1151">
        <w:rPr>
          <w:rFonts w:ascii="Calibri" w:hAnsi="Calibri"/>
          <w:bCs/>
          <w:i/>
          <w:color w:val="222222"/>
          <w:sz w:val="22"/>
          <w:szCs w:val="22"/>
          <w:u w:color="222222"/>
          <w:shd w:val="clear" w:color="auto" w:fill="FFFFFF"/>
        </w:rPr>
        <w:t>Representing Battered Spouses</w:t>
      </w:r>
      <w:r w:rsidR="000D1151" w:rsidRPr="000D1151">
        <w:rPr>
          <w:rFonts w:ascii="Calibri" w:hAnsi="Calibri"/>
          <w:bCs/>
          <w:color w:val="222222"/>
          <w:sz w:val="22"/>
          <w:szCs w:val="22"/>
          <w:u w:color="222222"/>
          <w:shd w:val="clear" w:color="auto" w:fill="FFFFFF"/>
        </w:rPr>
        <w:t>, Florida Dissolution of Marriage, §21.78 (Fla. Bar CLE 12th ed. 2015)</w:t>
      </w:r>
      <w:r w:rsidR="00945C4A">
        <w:rPr>
          <w:rFonts w:ascii="Calibri" w:hAnsi="Calibri"/>
          <w:bCs/>
          <w:color w:val="222222"/>
          <w:sz w:val="22"/>
          <w:szCs w:val="22"/>
          <w:u w:color="222222"/>
          <w:shd w:val="clear" w:color="auto" w:fill="FFFFFF"/>
        </w:rPr>
        <w:t>]</w:t>
      </w:r>
      <w:r w:rsidR="009C4534">
        <w:rPr>
          <w:rFonts w:ascii="Calibri" w:hAnsi="Calibri"/>
          <w:bCs/>
          <w:color w:val="222222"/>
          <w:sz w:val="22"/>
          <w:szCs w:val="22"/>
          <w:u w:color="222222"/>
          <w:shd w:val="clear" w:color="auto" w:fill="FFFFFF"/>
        </w:rPr>
        <w:t xml:space="preserve"> to </w:t>
      </w:r>
      <w:r w:rsidR="00E53D9A">
        <w:rPr>
          <w:rFonts w:ascii="Calibri" w:hAnsi="Calibri"/>
          <w:bCs/>
          <w:color w:val="222222"/>
          <w:sz w:val="22"/>
          <w:szCs w:val="22"/>
          <w:u w:color="222222"/>
          <w:shd w:val="clear" w:color="auto" w:fill="FFFFFF"/>
        </w:rPr>
        <w:t xml:space="preserve">reject </w:t>
      </w:r>
      <w:r w:rsidR="009C4534">
        <w:rPr>
          <w:rFonts w:ascii="Calibri" w:hAnsi="Calibri"/>
          <w:bCs/>
          <w:color w:val="222222"/>
          <w:sz w:val="22"/>
          <w:szCs w:val="22"/>
          <w:u w:color="222222"/>
          <w:shd w:val="clear" w:color="auto" w:fill="FFFFFF"/>
        </w:rPr>
        <w:t xml:space="preserve">a line of cases that had been developing in other Florida districts that would have resulted in </w:t>
      </w:r>
      <w:r w:rsidR="00C51AC1">
        <w:rPr>
          <w:rFonts w:ascii="Calibri" w:hAnsi="Calibri"/>
          <w:bCs/>
          <w:color w:val="222222"/>
          <w:sz w:val="22"/>
          <w:szCs w:val="22"/>
          <w:u w:color="222222"/>
          <w:shd w:val="clear" w:color="auto" w:fill="FFFFFF"/>
        </w:rPr>
        <w:t xml:space="preserve">unnecessarily </w:t>
      </w:r>
      <w:r w:rsidR="009B5615">
        <w:rPr>
          <w:rFonts w:ascii="Calibri" w:hAnsi="Calibri"/>
          <w:bCs/>
          <w:color w:val="222222"/>
          <w:sz w:val="22"/>
          <w:szCs w:val="22"/>
          <w:u w:color="222222"/>
          <w:shd w:val="clear" w:color="auto" w:fill="FFFFFF"/>
        </w:rPr>
        <w:t>onerous</w:t>
      </w:r>
      <w:r w:rsidR="00C51AC1">
        <w:rPr>
          <w:rFonts w:ascii="Calibri" w:hAnsi="Calibri"/>
          <w:bCs/>
          <w:color w:val="222222"/>
          <w:sz w:val="22"/>
          <w:szCs w:val="22"/>
          <w:u w:color="222222"/>
          <w:shd w:val="clear" w:color="auto" w:fill="FFFFFF"/>
        </w:rPr>
        <w:t xml:space="preserve"> </w:t>
      </w:r>
      <w:r w:rsidR="009C4534">
        <w:rPr>
          <w:rFonts w:ascii="Calibri" w:hAnsi="Calibri"/>
          <w:bCs/>
          <w:color w:val="222222"/>
          <w:sz w:val="22"/>
          <w:szCs w:val="22"/>
          <w:u w:color="222222"/>
          <w:shd w:val="clear" w:color="auto" w:fill="FFFFFF"/>
        </w:rPr>
        <w:t>p</w:t>
      </w:r>
      <w:r w:rsidR="006650B8">
        <w:rPr>
          <w:rFonts w:ascii="Calibri" w:hAnsi="Calibri"/>
          <w:bCs/>
          <w:color w:val="222222"/>
          <w:sz w:val="22"/>
          <w:szCs w:val="22"/>
          <w:u w:color="222222"/>
          <w:shd w:val="clear" w:color="auto" w:fill="FFFFFF"/>
        </w:rPr>
        <w:t>roof</w:t>
      </w:r>
      <w:r w:rsidR="009C4534">
        <w:rPr>
          <w:rFonts w:ascii="Calibri" w:hAnsi="Calibri"/>
          <w:bCs/>
          <w:color w:val="222222"/>
          <w:sz w:val="22"/>
          <w:szCs w:val="22"/>
          <w:u w:color="222222"/>
          <w:shd w:val="clear" w:color="auto" w:fill="FFFFFF"/>
        </w:rPr>
        <w:t xml:space="preserve"> requirements. </w:t>
      </w:r>
    </w:p>
    <w:p w:rsidR="009C4534" w:rsidRDefault="009C4534" w:rsidP="009C4534">
      <w:pPr>
        <w:shd w:val="clear" w:color="auto" w:fill="FFFFFF"/>
        <w:rPr>
          <w:bCs/>
          <w:color w:val="222222"/>
          <w:u w:color="222222"/>
          <w:shd w:val="clear" w:color="auto" w:fill="FFFFFF"/>
        </w:rPr>
      </w:pPr>
    </w:p>
    <w:p w:rsidR="009B5615" w:rsidRPr="009B5615" w:rsidRDefault="009B5615" w:rsidP="009C4534">
      <w:pPr>
        <w:shd w:val="clear" w:color="auto" w:fill="FFFFFF"/>
        <w:rPr>
          <w:rFonts w:ascii="Calibri" w:hAnsi="Calibri"/>
          <w:bCs/>
          <w:color w:val="222222"/>
          <w:sz w:val="22"/>
          <w:szCs w:val="22"/>
          <w:u w:color="222222"/>
          <w:shd w:val="clear" w:color="auto" w:fill="FFFFFF"/>
        </w:rPr>
      </w:pPr>
      <w:r w:rsidRPr="009B5615">
        <w:rPr>
          <w:rFonts w:ascii="Calibri" w:hAnsi="Calibri"/>
          <w:bCs/>
          <w:color w:val="222222"/>
          <w:sz w:val="22"/>
          <w:szCs w:val="22"/>
          <w:u w:color="222222"/>
          <w:shd w:val="clear" w:color="auto" w:fill="FFFFFF"/>
        </w:rPr>
        <w:t>The issue was whether a stalking injunction requires proof of more</w:t>
      </w:r>
      <w:bookmarkStart w:id="0" w:name="_GoBack"/>
      <w:bookmarkEnd w:id="0"/>
      <w:r w:rsidRPr="009B5615">
        <w:rPr>
          <w:rFonts w:ascii="Calibri" w:hAnsi="Calibri"/>
          <w:bCs/>
          <w:color w:val="222222"/>
          <w:sz w:val="22"/>
          <w:szCs w:val="22"/>
          <w:u w:color="222222"/>
          <w:shd w:val="clear" w:color="auto" w:fill="FFFFFF"/>
        </w:rPr>
        <w:t xml:space="preserve"> than one act of stalking.  Prior to the creation of the stalking injunction, a victim </w:t>
      </w:r>
      <w:r w:rsidR="00350A18">
        <w:rPr>
          <w:rFonts w:ascii="Calibri" w:hAnsi="Calibri"/>
          <w:bCs/>
          <w:color w:val="222222"/>
          <w:sz w:val="22"/>
          <w:szCs w:val="22"/>
          <w:u w:color="222222"/>
          <w:shd w:val="clear" w:color="auto" w:fill="FFFFFF"/>
        </w:rPr>
        <w:t>who had been in</w:t>
      </w:r>
      <w:r w:rsidRPr="009B5615">
        <w:rPr>
          <w:rFonts w:ascii="Calibri" w:hAnsi="Calibri"/>
          <w:bCs/>
          <w:color w:val="222222"/>
          <w:sz w:val="22"/>
          <w:szCs w:val="22"/>
          <w:u w:color="222222"/>
          <w:shd w:val="clear" w:color="auto" w:fill="FFFFFF"/>
        </w:rPr>
        <w:t xml:space="preserve"> a domestic relationship with the perpetrator could seek relief through a domestic violence injunction by proving only reasonable fear of </w:t>
      </w:r>
      <w:r w:rsidR="00350A18">
        <w:rPr>
          <w:rFonts w:ascii="Calibri" w:hAnsi="Calibri"/>
          <w:bCs/>
          <w:color w:val="222222"/>
          <w:sz w:val="22"/>
          <w:szCs w:val="22"/>
          <w:u w:color="222222"/>
          <w:shd w:val="clear" w:color="auto" w:fill="FFFFFF"/>
        </w:rPr>
        <w:t xml:space="preserve">an </w:t>
      </w:r>
      <w:r w:rsidRPr="009B5615">
        <w:rPr>
          <w:rFonts w:ascii="Calibri" w:hAnsi="Calibri"/>
          <w:bCs/>
          <w:color w:val="222222"/>
          <w:sz w:val="22"/>
          <w:szCs w:val="22"/>
          <w:u w:color="222222"/>
          <w:shd w:val="clear" w:color="auto" w:fill="FFFFFF"/>
        </w:rPr>
        <w:t xml:space="preserve">imminent </w:t>
      </w:r>
      <w:r w:rsidR="00350A18">
        <w:rPr>
          <w:rFonts w:ascii="Calibri" w:hAnsi="Calibri"/>
          <w:bCs/>
          <w:color w:val="222222"/>
          <w:sz w:val="22"/>
          <w:szCs w:val="22"/>
          <w:u w:color="222222"/>
          <w:shd w:val="clear" w:color="auto" w:fill="FFFFFF"/>
        </w:rPr>
        <w:t xml:space="preserve">act of </w:t>
      </w:r>
      <w:r w:rsidRPr="009B5615">
        <w:rPr>
          <w:rFonts w:ascii="Calibri" w:hAnsi="Calibri"/>
          <w:bCs/>
          <w:color w:val="222222"/>
          <w:sz w:val="22"/>
          <w:szCs w:val="22"/>
          <w:u w:color="222222"/>
          <w:shd w:val="clear" w:color="auto" w:fill="FFFFFF"/>
        </w:rPr>
        <w:t xml:space="preserve">violence or stalking. A victim without </w:t>
      </w:r>
      <w:r w:rsidR="00350A18">
        <w:rPr>
          <w:rFonts w:ascii="Calibri" w:hAnsi="Calibri"/>
          <w:bCs/>
          <w:color w:val="222222"/>
          <w:sz w:val="22"/>
          <w:szCs w:val="22"/>
          <w:u w:color="222222"/>
          <w:shd w:val="clear" w:color="auto" w:fill="FFFFFF"/>
        </w:rPr>
        <w:t xml:space="preserve">this </w:t>
      </w:r>
      <w:r w:rsidRPr="009B5615">
        <w:rPr>
          <w:rFonts w:ascii="Calibri" w:hAnsi="Calibri"/>
          <w:bCs/>
          <w:color w:val="222222"/>
          <w:sz w:val="22"/>
          <w:szCs w:val="22"/>
          <w:u w:color="222222"/>
          <w:shd w:val="clear" w:color="auto" w:fill="FFFFFF"/>
        </w:rPr>
        <w:t xml:space="preserve">relationship had to </w:t>
      </w:r>
      <w:r w:rsidR="00350A18">
        <w:rPr>
          <w:rFonts w:ascii="Calibri" w:hAnsi="Calibri"/>
          <w:bCs/>
          <w:color w:val="222222"/>
          <w:sz w:val="22"/>
          <w:szCs w:val="22"/>
          <w:u w:color="222222"/>
          <w:shd w:val="clear" w:color="auto" w:fill="FFFFFF"/>
        </w:rPr>
        <w:t>prove</w:t>
      </w:r>
      <w:r w:rsidRPr="009B5615">
        <w:rPr>
          <w:rFonts w:ascii="Calibri" w:hAnsi="Calibri"/>
          <w:bCs/>
          <w:color w:val="222222"/>
          <w:sz w:val="22"/>
          <w:szCs w:val="22"/>
          <w:u w:color="222222"/>
          <w:shd w:val="clear" w:color="auto" w:fill="FFFFFF"/>
        </w:rPr>
        <w:t xml:space="preserve"> at least two acts of violence or stalking occurred </w:t>
      </w:r>
      <w:r w:rsidR="00350A18">
        <w:rPr>
          <w:rFonts w:ascii="Calibri" w:hAnsi="Calibri"/>
          <w:bCs/>
          <w:color w:val="222222"/>
          <w:sz w:val="22"/>
          <w:szCs w:val="22"/>
          <w:u w:color="222222"/>
          <w:shd w:val="clear" w:color="auto" w:fill="FFFFFF"/>
        </w:rPr>
        <w:t xml:space="preserve">to seek </w:t>
      </w:r>
      <w:r w:rsidRPr="009B5615">
        <w:rPr>
          <w:rFonts w:ascii="Calibri" w:hAnsi="Calibri"/>
          <w:bCs/>
          <w:color w:val="222222"/>
          <w:sz w:val="22"/>
          <w:szCs w:val="22"/>
          <w:u w:color="222222"/>
          <w:shd w:val="clear" w:color="auto" w:fill="FFFFFF"/>
        </w:rPr>
        <w:t xml:space="preserve">relief through a repeat violence injunction.  But, because a single </w:t>
      </w:r>
      <w:r w:rsidR="00350A18">
        <w:rPr>
          <w:rFonts w:ascii="Calibri" w:hAnsi="Calibri"/>
          <w:bCs/>
          <w:color w:val="222222"/>
          <w:sz w:val="22"/>
          <w:szCs w:val="22"/>
          <w:u w:color="222222"/>
          <w:shd w:val="clear" w:color="auto" w:fill="FFFFFF"/>
        </w:rPr>
        <w:t>act</w:t>
      </w:r>
      <w:r w:rsidRPr="009B5615">
        <w:rPr>
          <w:rFonts w:ascii="Calibri" w:hAnsi="Calibri"/>
          <w:bCs/>
          <w:color w:val="222222"/>
          <w:sz w:val="22"/>
          <w:szCs w:val="22"/>
          <w:u w:color="222222"/>
          <w:shd w:val="clear" w:color="auto" w:fill="FFFFFF"/>
        </w:rPr>
        <w:t xml:space="preserve"> of stalking by definition includes a course of harassing conduct, a jurisdictional split had arisen among the appellate courts as to whether </w:t>
      </w:r>
      <w:r w:rsidR="00350A18">
        <w:rPr>
          <w:rFonts w:ascii="Calibri" w:hAnsi="Calibri"/>
          <w:bCs/>
          <w:color w:val="222222"/>
          <w:sz w:val="22"/>
          <w:szCs w:val="22"/>
          <w:u w:color="222222"/>
          <w:shd w:val="clear" w:color="auto" w:fill="FFFFFF"/>
        </w:rPr>
        <w:t xml:space="preserve">a </w:t>
      </w:r>
      <w:r w:rsidRPr="009B5615">
        <w:rPr>
          <w:rFonts w:ascii="Calibri" w:hAnsi="Calibri"/>
          <w:bCs/>
          <w:color w:val="222222"/>
          <w:sz w:val="22"/>
          <w:szCs w:val="22"/>
          <w:u w:color="222222"/>
          <w:shd w:val="clear" w:color="auto" w:fill="FFFFFF"/>
        </w:rPr>
        <w:t xml:space="preserve">repeat </w:t>
      </w:r>
      <w:r w:rsidR="00350A18">
        <w:rPr>
          <w:rFonts w:ascii="Calibri" w:hAnsi="Calibri"/>
          <w:bCs/>
          <w:color w:val="222222"/>
          <w:sz w:val="22"/>
          <w:szCs w:val="22"/>
          <w:u w:color="222222"/>
          <w:shd w:val="clear" w:color="auto" w:fill="FFFFFF"/>
        </w:rPr>
        <w:t xml:space="preserve">violence </w:t>
      </w:r>
      <w:r w:rsidRPr="009B5615">
        <w:rPr>
          <w:rFonts w:ascii="Calibri" w:hAnsi="Calibri"/>
          <w:bCs/>
          <w:color w:val="222222"/>
          <w:sz w:val="22"/>
          <w:szCs w:val="22"/>
          <w:u w:color="222222"/>
          <w:shd w:val="clear" w:color="auto" w:fill="FFFFFF"/>
        </w:rPr>
        <w:t xml:space="preserve">injunction should require more than one </w:t>
      </w:r>
      <w:r w:rsidR="00350A18">
        <w:rPr>
          <w:rFonts w:ascii="Calibri" w:hAnsi="Calibri"/>
          <w:bCs/>
          <w:color w:val="222222"/>
          <w:sz w:val="22"/>
          <w:szCs w:val="22"/>
          <w:u w:color="222222"/>
          <w:shd w:val="clear" w:color="auto" w:fill="FFFFFF"/>
        </w:rPr>
        <w:t>act</w:t>
      </w:r>
      <w:r w:rsidRPr="009B5615">
        <w:rPr>
          <w:rFonts w:ascii="Calibri" w:hAnsi="Calibri"/>
          <w:bCs/>
          <w:color w:val="222222"/>
          <w:sz w:val="22"/>
          <w:szCs w:val="22"/>
          <w:u w:color="222222"/>
          <w:shd w:val="clear" w:color="auto" w:fill="FFFFFF"/>
        </w:rPr>
        <w:t xml:space="preserve"> of stalking.  Ms. Martyn opined in her chapter that the </w:t>
      </w:r>
      <w:r w:rsidR="000B75C2">
        <w:rPr>
          <w:rFonts w:ascii="Calibri" w:hAnsi="Calibri"/>
          <w:bCs/>
          <w:color w:val="222222"/>
          <w:sz w:val="22"/>
          <w:szCs w:val="22"/>
          <w:u w:color="222222"/>
          <w:shd w:val="clear" w:color="auto" w:fill="FFFFFF"/>
        </w:rPr>
        <w:t xml:space="preserve">subsequent </w:t>
      </w:r>
      <w:r w:rsidRPr="009B5615">
        <w:rPr>
          <w:rFonts w:ascii="Calibri" w:hAnsi="Calibri"/>
          <w:bCs/>
          <w:color w:val="222222"/>
          <w:sz w:val="22"/>
          <w:szCs w:val="22"/>
          <w:u w:color="222222"/>
          <w:shd w:val="clear" w:color="auto" w:fill="FFFFFF"/>
        </w:rPr>
        <w:t xml:space="preserve">creation of the stalking injunction resolved any conflict by specifically requiring only one act of stalking.  Yet, several appellate courts continued to pronounce that more than one act of stalking would be required for </w:t>
      </w:r>
      <w:r w:rsidR="00350A18">
        <w:rPr>
          <w:rFonts w:ascii="Calibri" w:hAnsi="Calibri"/>
          <w:bCs/>
          <w:color w:val="222222"/>
          <w:sz w:val="22"/>
          <w:szCs w:val="22"/>
          <w:u w:color="222222"/>
          <w:shd w:val="clear" w:color="auto" w:fill="FFFFFF"/>
        </w:rPr>
        <w:t xml:space="preserve">not only a </w:t>
      </w:r>
      <w:r w:rsidRPr="009B5615">
        <w:rPr>
          <w:rFonts w:ascii="Calibri" w:hAnsi="Calibri"/>
          <w:bCs/>
          <w:color w:val="222222"/>
          <w:sz w:val="22"/>
          <w:szCs w:val="22"/>
          <w:u w:color="222222"/>
          <w:shd w:val="clear" w:color="auto" w:fill="FFFFFF"/>
        </w:rPr>
        <w:t xml:space="preserve">repeat violence injunction, </w:t>
      </w:r>
      <w:r w:rsidR="00350A18">
        <w:rPr>
          <w:rFonts w:ascii="Calibri" w:hAnsi="Calibri"/>
          <w:bCs/>
          <w:color w:val="222222"/>
          <w:sz w:val="22"/>
          <w:szCs w:val="22"/>
          <w:u w:color="222222"/>
          <w:shd w:val="clear" w:color="auto" w:fill="FFFFFF"/>
        </w:rPr>
        <w:t xml:space="preserve">but </w:t>
      </w:r>
      <w:r w:rsidR="000B75C2">
        <w:rPr>
          <w:rFonts w:ascii="Calibri" w:hAnsi="Calibri"/>
          <w:bCs/>
          <w:color w:val="222222"/>
          <w:sz w:val="22"/>
          <w:szCs w:val="22"/>
          <w:u w:color="222222"/>
          <w:shd w:val="clear" w:color="auto" w:fill="FFFFFF"/>
        </w:rPr>
        <w:t>the new</w:t>
      </w:r>
      <w:r w:rsidRPr="009B5615">
        <w:rPr>
          <w:rFonts w:ascii="Calibri" w:hAnsi="Calibri"/>
          <w:bCs/>
          <w:color w:val="222222"/>
          <w:sz w:val="22"/>
          <w:szCs w:val="22"/>
          <w:u w:color="222222"/>
          <w:shd w:val="clear" w:color="auto" w:fill="FFFFFF"/>
        </w:rPr>
        <w:t xml:space="preserve"> stalking injunction</w:t>
      </w:r>
      <w:r w:rsidR="00350A18">
        <w:rPr>
          <w:rFonts w:ascii="Calibri" w:hAnsi="Calibri"/>
          <w:bCs/>
          <w:color w:val="222222"/>
          <w:sz w:val="22"/>
          <w:szCs w:val="22"/>
          <w:u w:color="222222"/>
          <w:shd w:val="clear" w:color="auto" w:fill="FFFFFF"/>
        </w:rPr>
        <w:t xml:space="preserve"> as well</w:t>
      </w:r>
      <w:r w:rsidRPr="009B5615">
        <w:rPr>
          <w:rFonts w:ascii="Calibri" w:hAnsi="Calibri"/>
          <w:bCs/>
          <w:color w:val="222222"/>
          <w:sz w:val="22"/>
          <w:szCs w:val="22"/>
          <w:u w:color="222222"/>
          <w:shd w:val="clear" w:color="auto" w:fill="FFFFFF"/>
        </w:rPr>
        <w:t>.</w:t>
      </w:r>
    </w:p>
    <w:p w:rsidR="009B5615" w:rsidRDefault="009B5615" w:rsidP="009C4534">
      <w:pPr>
        <w:shd w:val="clear" w:color="auto" w:fill="FFFFFF"/>
        <w:rPr>
          <w:bCs/>
          <w:color w:val="222222"/>
          <w:u w:color="222222"/>
          <w:shd w:val="clear" w:color="auto" w:fill="FFFFFF"/>
        </w:rPr>
      </w:pPr>
    </w:p>
    <w:p w:rsidR="003362FB" w:rsidRPr="002E5458" w:rsidRDefault="003362FB" w:rsidP="003362FB">
      <w:pPr>
        <w:pStyle w:val="Body"/>
        <w:rPr>
          <w:bCs/>
          <w:color w:val="222222"/>
          <w:u w:color="222222"/>
          <w:shd w:val="clear" w:color="auto" w:fill="FFFFFF"/>
        </w:rPr>
      </w:pPr>
      <w:r w:rsidRPr="007F0E78">
        <w:rPr>
          <w:bCs/>
          <w:i/>
          <w:color w:val="222222"/>
          <w:u w:color="222222"/>
          <w:shd w:val="clear" w:color="auto" w:fill="FFFFFF"/>
        </w:rPr>
        <w:t>Pickett v. Copeland</w:t>
      </w:r>
      <w:r w:rsidRPr="002E5458">
        <w:rPr>
          <w:bCs/>
          <w:color w:val="222222"/>
          <w:u w:color="222222"/>
          <w:shd w:val="clear" w:color="auto" w:fill="FFFFFF"/>
        </w:rPr>
        <w:t xml:space="preserve">, </w:t>
      </w:r>
      <w:r w:rsidR="00B06C65" w:rsidRPr="00B06C65">
        <w:rPr>
          <w:bCs/>
          <w:color w:val="222222"/>
          <w:u w:color="222222"/>
          <w:shd w:val="clear" w:color="auto" w:fill="FFFFFF"/>
        </w:rPr>
        <w:t>WL 444243 (Fla. 1st DCA 2018)</w:t>
      </w:r>
      <w:r w:rsidRPr="002E5458">
        <w:rPr>
          <w:bCs/>
          <w:color w:val="222222"/>
          <w:u w:color="222222"/>
          <w:shd w:val="clear" w:color="auto" w:fill="FFFFFF"/>
        </w:rPr>
        <w:t>:</w:t>
      </w:r>
    </w:p>
    <w:p w:rsidR="003362FB" w:rsidRPr="002E5458" w:rsidRDefault="003362FB" w:rsidP="002B4392">
      <w:pPr>
        <w:pStyle w:val="Body"/>
        <w:ind w:left="720" w:right="720"/>
        <w:rPr>
          <w:bCs/>
          <w:color w:val="222222"/>
          <w:u w:color="222222"/>
          <w:shd w:val="clear" w:color="auto" w:fill="FFFFFF"/>
        </w:rPr>
      </w:pPr>
      <w:r w:rsidRPr="002E5458">
        <w:rPr>
          <w:bCs/>
          <w:color w:val="222222"/>
          <w:u w:color="222222"/>
          <w:shd w:val="clear" w:color="auto" w:fill="FFFFFF"/>
        </w:rPr>
        <w:t xml:space="preserve">Stalking is defined simply as ‘willfully, maliciously, and repeatedly’ following, harassing, or cyberstalking another person -- not </w:t>
      </w:r>
      <w:r w:rsidRPr="00CB6B16">
        <w:rPr>
          <w:bCs/>
          <w:i/>
          <w:color w:val="222222"/>
          <w:u w:color="222222"/>
          <w:shd w:val="clear" w:color="auto" w:fill="FFFFFF"/>
        </w:rPr>
        <w:t>repeatedly stalking</w:t>
      </w:r>
      <w:r w:rsidRPr="002E5458">
        <w:rPr>
          <w:bCs/>
          <w:color w:val="222222"/>
          <w:u w:color="222222"/>
          <w:shd w:val="clear" w:color="auto" w:fill="FFFFFF"/>
        </w:rPr>
        <w:t xml:space="preserve"> another person. §784.048(2), Fla. Stat.  Equally important, section 784.0485 makes no reference to the provisions of the repeat violence statute; does not mandate ‘guidance’ from the repeat violence provisions; and, independent of the requirements of section 784.046, creates a ‘cause of action for an injunction for protection against stalking.’  § 784.0485(1), Fla. Stat.; </w:t>
      </w:r>
      <w:r w:rsidRPr="002B4392">
        <w:rPr>
          <w:bCs/>
          <w:i/>
          <w:color w:val="222222"/>
          <w:u w:color="222222"/>
          <w:shd w:val="clear" w:color="auto" w:fill="FFFFFF"/>
        </w:rPr>
        <w:t>see</w:t>
      </w:r>
      <w:r w:rsidRPr="002E5458">
        <w:rPr>
          <w:bCs/>
          <w:color w:val="222222"/>
          <w:u w:color="222222"/>
          <w:shd w:val="clear" w:color="auto" w:fill="FFFFFF"/>
        </w:rPr>
        <w:t xml:space="preserve"> M. Kimberly Martyn, </w:t>
      </w:r>
      <w:r w:rsidRPr="002B4392">
        <w:rPr>
          <w:bCs/>
          <w:i/>
          <w:color w:val="222222"/>
          <w:u w:color="222222"/>
          <w:shd w:val="clear" w:color="auto" w:fill="FFFFFF"/>
        </w:rPr>
        <w:t>Representing Battered Spouses</w:t>
      </w:r>
      <w:r w:rsidRPr="002E5458">
        <w:rPr>
          <w:bCs/>
          <w:color w:val="222222"/>
          <w:u w:color="222222"/>
          <w:shd w:val="clear" w:color="auto" w:fill="FFFFFF"/>
        </w:rPr>
        <w:t xml:space="preserve">, </w:t>
      </w:r>
      <w:r w:rsidRPr="002B4392">
        <w:rPr>
          <w:bCs/>
          <w:i/>
          <w:color w:val="222222"/>
          <w:u w:color="222222"/>
          <w:shd w:val="clear" w:color="auto" w:fill="FFFFFF"/>
        </w:rPr>
        <w:t>Florida Dissolution of Marriage</w:t>
      </w:r>
      <w:r w:rsidRPr="002E5458">
        <w:rPr>
          <w:bCs/>
          <w:color w:val="222222"/>
          <w:u w:color="222222"/>
          <w:shd w:val="clear" w:color="auto" w:fill="FFFFFF"/>
        </w:rPr>
        <w:t>, §21.7</w:t>
      </w:r>
      <w:r w:rsidR="00D85E9B">
        <w:rPr>
          <w:bCs/>
          <w:color w:val="222222"/>
          <w:u w:color="222222"/>
          <w:shd w:val="clear" w:color="auto" w:fill="FFFFFF"/>
        </w:rPr>
        <w:t xml:space="preserve">8 (Fla. Bar CLE 12th ed. 2015) </w:t>
      </w:r>
      <w:r w:rsidRPr="002E5458">
        <w:rPr>
          <w:bCs/>
          <w:color w:val="222222"/>
          <w:u w:color="222222"/>
          <w:shd w:val="clear" w:color="auto" w:fill="FFFFFF"/>
        </w:rPr>
        <w:t xml:space="preserve">“Effective October 1, 2012, a fifth type of protective injunction exists for protection against stalking. F.S. 784.0485(1).  The availability of this injunction enables victims of stalking, including cyberstalking, who do not qualify for domestic violence injunctions, </w:t>
      </w:r>
      <w:r w:rsidRPr="002B4392">
        <w:rPr>
          <w:bCs/>
          <w:i/>
          <w:color w:val="222222"/>
          <w:u w:color="222222"/>
          <w:shd w:val="clear" w:color="auto" w:fill="FFFFFF"/>
        </w:rPr>
        <w:t>to seek relief without the necessity of proving the two separate stalking offenses that are required in repeat violence injunction proceedings.</w:t>
      </w:r>
      <w:r w:rsidR="00D85E9B">
        <w:rPr>
          <w:bCs/>
          <w:color w:val="222222"/>
          <w:u w:color="222222"/>
          <w:shd w:val="clear" w:color="auto" w:fill="FFFFFF"/>
        </w:rPr>
        <w:t xml:space="preserve">” </w:t>
      </w:r>
      <w:r w:rsidR="002B4392">
        <w:rPr>
          <w:bCs/>
          <w:color w:val="222222"/>
          <w:u w:color="222222"/>
          <w:shd w:val="clear" w:color="auto" w:fill="FFFFFF"/>
        </w:rPr>
        <w:t>(</w:t>
      </w:r>
      <w:r w:rsidR="00D85E9B">
        <w:rPr>
          <w:bCs/>
          <w:color w:val="222222"/>
          <w:u w:color="222222"/>
          <w:shd w:val="clear" w:color="auto" w:fill="FFFFFF"/>
        </w:rPr>
        <w:t>Emphasis</w:t>
      </w:r>
      <w:r w:rsidR="002B4392">
        <w:rPr>
          <w:bCs/>
          <w:color w:val="222222"/>
          <w:u w:color="222222"/>
          <w:shd w:val="clear" w:color="auto" w:fill="FFFFFF"/>
        </w:rPr>
        <w:t xml:space="preserve"> added).</w:t>
      </w:r>
    </w:p>
    <w:p w:rsidR="00D85E9B" w:rsidRDefault="00D85E9B">
      <w:pPr>
        <w:pStyle w:val="Body"/>
        <w:spacing w:after="0" w:line="240" w:lineRule="auto"/>
        <w:rPr>
          <w:b/>
          <w:bCs/>
        </w:rPr>
      </w:pPr>
    </w:p>
    <w:p w:rsidR="00011570" w:rsidRPr="002E5458" w:rsidRDefault="00B97316">
      <w:pPr>
        <w:pStyle w:val="Body"/>
        <w:spacing w:after="0" w:line="240" w:lineRule="auto"/>
        <w:rPr>
          <w:b/>
          <w:bCs/>
        </w:rPr>
      </w:pPr>
      <w:r w:rsidRPr="002E5458">
        <w:rPr>
          <w:b/>
          <w:bCs/>
        </w:rPr>
        <w:lastRenderedPageBreak/>
        <w:t>About Jacksonville Area Legal Aid:</w:t>
      </w:r>
    </w:p>
    <w:p w:rsidR="00011570" w:rsidRDefault="00B97316">
      <w:pPr>
        <w:pStyle w:val="Body"/>
        <w:spacing w:after="0" w:line="240" w:lineRule="auto"/>
        <w:rPr>
          <w:rStyle w:val="Link"/>
        </w:rPr>
      </w:pPr>
      <w:r w:rsidRPr="002E5458">
        <w:t xml:space="preserve">The mission of Jacksonville Area Legal Aid, Inc. is to obtain and provide high quality legal assistance to low income and other special need groups and to stimulate and empower groups of poor people to accomplish energetic and affirmative advocacy, all to alleviate the circumstances, incidents and causes of poverty. Donate at </w:t>
      </w:r>
      <w:hyperlink r:id="rId7" w:history="1">
        <w:r w:rsidRPr="002E5458">
          <w:rPr>
            <w:rStyle w:val="Link"/>
          </w:rPr>
          <w:t>www.JaxLegalAid.org</w:t>
        </w:r>
      </w:hyperlink>
      <w:r w:rsidRPr="002E5458">
        <w:rPr>
          <w:rStyle w:val="Link"/>
        </w:rPr>
        <w:t>.</w:t>
      </w:r>
    </w:p>
    <w:p w:rsidR="00D85E9B" w:rsidRDefault="00D85E9B">
      <w:pPr>
        <w:pStyle w:val="Body"/>
        <w:spacing w:after="0" w:line="240" w:lineRule="auto"/>
        <w:rPr>
          <w:rStyle w:val="Link"/>
        </w:rPr>
      </w:pPr>
    </w:p>
    <w:p w:rsidR="00D85E9B" w:rsidRPr="002E5458" w:rsidRDefault="00D85E9B" w:rsidP="00D85E9B">
      <w:pPr>
        <w:pStyle w:val="Body"/>
        <w:spacing w:after="0" w:line="240" w:lineRule="auto"/>
        <w:jc w:val="center"/>
      </w:pPr>
      <w:r w:rsidRPr="002E5458">
        <w:t>###</w:t>
      </w:r>
    </w:p>
    <w:p w:rsidR="00D85E9B" w:rsidRPr="002E5458" w:rsidRDefault="00D85E9B">
      <w:pPr>
        <w:pStyle w:val="Body"/>
        <w:spacing w:after="0" w:line="240" w:lineRule="auto"/>
        <w:rPr>
          <w:rStyle w:val="Link"/>
        </w:rPr>
      </w:pPr>
    </w:p>
    <w:sectPr w:rsidR="00D85E9B" w:rsidRPr="002E5458">
      <w:headerReference w:type="default" r:id="rId8"/>
      <w:foot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B5D" w:rsidRDefault="00081B5D">
      <w:r>
        <w:separator/>
      </w:r>
    </w:p>
  </w:endnote>
  <w:endnote w:type="continuationSeparator" w:id="0">
    <w:p w:rsidR="00081B5D" w:rsidRDefault="0008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570" w:rsidRDefault="00011570">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B5D" w:rsidRDefault="00081B5D">
      <w:r>
        <w:separator/>
      </w:r>
    </w:p>
  </w:footnote>
  <w:footnote w:type="continuationSeparator" w:id="0">
    <w:p w:rsidR="00081B5D" w:rsidRDefault="00081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570" w:rsidRDefault="0001157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70"/>
    <w:rsid w:val="00011570"/>
    <w:rsid w:val="000252FF"/>
    <w:rsid w:val="00081B5D"/>
    <w:rsid w:val="000B75C2"/>
    <w:rsid w:val="000D1151"/>
    <w:rsid w:val="001B7EC1"/>
    <w:rsid w:val="002B4392"/>
    <w:rsid w:val="002E5458"/>
    <w:rsid w:val="003362FB"/>
    <w:rsid w:val="00350A18"/>
    <w:rsid w:val="00366530"/>
    <w:rsid w:val="003E54AE"/>
    <w:rsid w:val="005437FB"/>
    <w:rsid w:val="00545E24"/>
    <w:rsid w:val="005B0521"/>
    <w:rsid w:val="00644FFD"/>
    <w:rsid w:val="006650B8"/>
    <w:rsid w:val="00692A93"/>
    <w:rsid w:val="007314EF"/>
    <w:rsid w:val="0075038A"/>
    <w:rsid w:val="007F0E78"/>
    <w:rsid w:val="00832E01"/>
    <w:rsid w:val="00924E7E"/>
    <w:rsid w:val="00945C4A"/>
    <w:rsid w:val="009B334A"/>
    <w:rsid w:val="009B5615"/>
    <w:rsid w:val="009C4534"/>
    <w:rsid w:val="00B06C65"/>
    <w:rsid w:val="00B6202D"/>
    <w:rsid w:val="00B97316"/>
    <w:rsid w:val="00BA5E65"/>
    <w:rsid w:val="00C51AC1"/>
    <w:rsid w:val="00CB6B16"/>
    <w:rsid w:val="00D61A4B"/>
    <w:rsid w:val="00D85E9B"/>
    <w:rsid w:val="00DD3A30"/>
    <w:rsid w:val="00E120FC"/>
    <w:rsid w:val="00E53D9A"/>
    <w:rsid w:val="00FD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04289-E251-4905-842A-628987F5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0563C1"/>
      <w:u w:val="single" w:color="0563C1"/>
    </w:rPr>
  </w:style>
  <w:style w:type="character" w:customStyle="1" w:styleId="Hyperlink0">
    <w:name w:val="Hyperlink.0"/>
    <w:basedOn w:val="Link"/>
    <w:rPr>
      <w:color w:val="0563C1"/>
      <w:sz w:val="20"/>
      <w:szCs w:val="20"/>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330591">
      <w:bodyDiv w:val="1"/>
      <w:marLeft w:val="0"/>
      <w:marRight w:val="0"/>
      <w:marTop w:val="0"/>
      <w:marBottom w:val="0"/>
      <w:divBdr>
        <w:top w:val="none" w:sz="0" w:space="0" w:color="auto"/>
        <w:left w:val="none" w:sz="0" w:space="0" w:color="auto"/>
        <w:bottom w:val="none" w:sz="0" w:space="0" w:color="auto"/>
        <w:right w:val="none" w:sz="0" w:space="0" w:color="auto"/>
      </w:divBdr>
      <w:divsChild>
        <w:div w:id="230625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05267">
              <w:marLeft w:val="0"/>
              <w:marRight w:val="0"/>
              <w:marTop w:val="0"/>
              <w:marBottom w:val="0"/>
              <w:divBdr>
                <w:top w:val="none" w:sz="0" w:space="0" w:color="auto"/>
                <w:left w:val="none" w:sz="0" w:space="0" w:color="auto"/>
                <w:bottom w:val="none" w:sz="0" w:space="0" w:color="auto"/>
                <w:right w:val="none" w:sz="0" w:space="0" w:color="auto"/>
              </w:divBdr>
              <w:divsChild>
                <w:div w:id="4599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JaxLegalAi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nnis.Harrison@JaxLegalAid.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Harrison</dc:creator>
  <cp:lastModifiedBy>Dennis Harrison</cp:lastModifiedBy>
  <cp:revision>2</cp:revision>
  <dcterms:created xsi:type="dcterms:W3CDTF">2018-02-20T19:37:00Z</dcterms:created>
  <dcterms:modified xsi:type="dcterms:W3CDTF">2018-02-20T19:37:00Z</dcterms:modified>
</cp:coreProperties>
</file>